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AF0BA2">
        <w:rPr>
          <w:sz w:val="24"/>
          <w:szCs w:val="24"/>
        </w:rPr>
        <w:t>3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AF0BA2">
        <w:rPr>
          <w:sz w:val="24"/>
          <w:szCs w:val="24"/>
        </w:rPr>
        <w:t>22</w:t>
      </w:r>
      <w:r w:rsidR="009A77E9">
        <w:rPr>
          <w:sz w:val="24"/>
          <w:szCs w:val="24"/>
        </w:rPr>
        <w:t xml:space="preserve"> de </w:t>
      </w:r>
      <w:r w:rsidR="00932DE6">
        <w:rPr>
          <w:sz w:val="24"/>
          <w:szCs w:val="24"/>
        </w:rPr>
        <w:t>marzo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Default="00285FE8" w:rsidP="00285FE8">
      <w:pPr>
        <w:ind w:left="2124" w:firstLine="708"/>
        <w:rPr>
          <w:b/>
        </w:rPr>
      </w:pP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F0BA2" w:rsidRPr="0047077E" w:rsidTr="00917BEB">
        <w:trPr>
          <w:trHeight w:val="187"/>
        </w:trPr>
        <w:tc>
          <w:tcPr>
            <w:tcW w:w="2268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F0BA2" w:rsidRPr="0047077E" w:rsidTr="00917BEB">
        <w:trPr>
          <w:trHeight w:val="199"/>
        </w:trPr>
        <w:tc>
          <w:tcPr>
            <w:tcW w:w="2268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AF0BA2" w:rsidRPr="0047077E" w:rsidTr="00917BEB">
        <w:trPr>
          <w:trHeight w:val="199"/>
        </w:trPr>
        <w:tc>
          <w:tcPr>
            <w:tcW w:w="2268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AF0BA2" w:rsidRPr="0047077E" w:rsidTr="00917BEB">
        <w:trPr>
          <w:trHeight w:val="199"/>
        </w:trPr>
        <w:tc>
          <w:tcPr>
            <w:tcW w:w="2268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AF0BA2" w:rsidRPr="0047077E" w:rsidRDefault="00AF0BA2" w:rsidP="002B24FE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F0BA2" w:rsidRPr="0047077E" w:rsidTr="00917BEB">
        <w:trPr>
          <w:trHeight w:val="248"/>
        </w:trPr>
        <w:tc>
          <w:tcPr>
            <w:tcW w:w="2268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AF0BA2" w:rsidRDefault="00614ED9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AF0BA2" w:rsidRDefault="00614ED9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F0BA2" w:rsidRPr="0047077E" w:rsidTr="00917BEB">
        <w:trPr>
          <w:trHeight w:val="248"/>
        </w:trPr>
        <w:tc>
          <w:tcPr>
            <w:tcW w:w="2268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AF0BA2" w:rsidRPr="0047077E" w:rsidTr="00917BEB">
        <w:trPr>
          <w:trHeight w:val="248"/>
        </w:trPr>
        <w:tc>
          <w:tcPr>
            <w:tcW w:w="2268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F0BA2" w:rsidRDefault="00AF0BA2" w:rsidP="002B24F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AF0BA2" w:rsidRDefault="002B24FE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AF0BA2" w:rsidP="00917BEB">
            <w:pPr>
              <w:pStyle w:val="NormalWeb"/>
              <w:jc w:val="center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3827" w:type="dxa"/>
            <w:gridSpan w:val="3"/>
          </w:tcPr>
          <w:p w:rsidR="00285FE8" w:rsidRDefault="00285FE8" w:rsidP="00917BEB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285FE8" w:rsidRDefault="00285FE8" w:rsidP="00285FE8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1D56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614ED9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AB19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2156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C24C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Default="00614ED9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614E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21561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Pr="00CC55C6" w:rsidRDefault="00614ED9" w:rsidP="00614ED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614ED9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D9" w:rsidRDefault="00614ED9" w:rsidP="00614E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Default="00614ED9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ED9" w:rsidRPr="00CC55C6" w:rsidRDefault="00614ED9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1D56D0">
        <w:rPr>
          <w:b/>
          <w:u w:val="single"/>
        </w:rPr>
        <w:t>2</w:t>
      </w:r>
      <w:r w:rsidR="00AF0BA2">
        <w:rPr>
          <w:b/>
          <w:u w:val="single"/>
        </w:rPr>
        <w:t>9</w:t>
      </w:r>
      <w:proofErr w:type="gramEnd"/>
      <w:r w:rsidR="00B2623F">
        <w:rPr>
          <w:b/>
          <w:u w:val="single"/>
        </w:rPr>
        <w:t xml:space="preserve"> </w:t>
      </w:r>
      <w:r w:rsidR="00285FE8">
        <w:rPr>
          <w:b/>
          <w:u w:val="single"/>
        </w:rPr>
        <w:t>marzo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D62420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D62420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AF0BA2" w:rsidP="00932DE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126" w:type="dxa"/>
          </w:tcPr>
          <w:p w:rsidR="00B2623F" w:rsidRPr="0047077E" w:rsidRDefault="00AF0BA2" w:rsidP="00A02B0A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AF0BA2" w:rsidP="004A37F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Pr="0047077E" w:rsidRDefault="00AF0BA2" w:rsidP="007C3AF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AF0BA2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 40</w:t>
            </w:r>
          </w:p>
        </w:tc>
        <w:tc>
          <w:tcPr>
            <w:tcW w:w="2126" w:type="dxa"/>
          </w:tcPr>
          <w:p w:rsidR="00B2623F" w:rsidRPr="0047077E" w:rsidRDefault="00AF0BA2" w:rsidP="00DB7B0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AF0BA2" w:rsidP="007C3AF1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Pr="0047077E" w:rsidRDefault="00AF0BA2" w:rsidP="00D049C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126" w:type="dxa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Default="00AF0BA2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AF0BA2" w:rsidP="00B2623F">
            <w:pPr>
              <w:pStyle w:val="NormalWeb"/>
              <w:jc w:val="center"/>
              <w:textAlignment w:val="top"/>
            </w:pPr>
            <w:r>
              <w:t>Zabala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76036">
        <w:t>27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D517F">
        <w:t>23, 25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D517F">
        <w:t>26</w:t>
      </w:r>
      <w:r w:rsidR="00B076FB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5D517F" w:rsidRDefault="005D517F" w:rsidP="005D517F">
      <w:pPr>
        <w:ind w:left="2880"/>
      </w:pPr>
      <w:r>
        <w:t>Se le sanciona con 12 euros por no haber presentado el Acta antes de comenzar el partido.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14ED9">
        <w:t>15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736A5E">
        <w:t>2</w:t>
      </w:r>
      <w:r w:rsidR="005D517F">
        <w:t>1</w:t>
      </w:r>
      <w:r w:rsidR="0019259A">
        <w:t>.</w:t>
      </w:r>
    </w:p>
    <w:p w:rsidR="008F49DA" w:rsidRPr="008F49DA" w:rsidRDefault="005D517F" w:rsidP="008F49DA">
      <w:pPr>
        <w:numPr>
          <w:ilvl w:val="3"/>
          <w:numId w:val="11"/>
        </w:numPr>
        <w:ind w:left="2835" w:hanging="283"/>
        <w:rPr>
          <w:iCs/>
          <w:color w:val="000000"/>
          <w:shd w:val="clear" w:color="auto" w:fill="FFFFFF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3 (</w:t>
      </w:r>
      <w:proofErr w:type="spellStart"/>
      <w:r>
        <w:t>Abdelaye</w:t>
      </w:r>
      <w:proofErr w:type="spellEnd"/>
      <w:r>
        <w:t xml:space="preserve"> </w:t>
      </w:r>
      <w:proofErr w:type="spellStart"/>
      <w:r>
        <w:t>Traore</w:t>
      </w:r>
      <w:proofErr w:type="spellEnd"/>
      <w:r>
        <w:t xml:space="preserve">) por </w:t>
      </w:r>
      <w:r w:rsidR="008F49DA" w:rsidRPr="008F49DA">
        <w:rPr>
          <w:iCs/>
          <w:color w:val="000000"/>
          <w:shd w:val="clear" w:color="auto" w:fill="FFFFFF"/>
        </w:rPr>
        <w:t xml:space="preserve">forcejeo y empujón con un contrario. </w:t>
      </w:r>
    </w:p>
    <w:p w:rsidR="005D517F" w:rsidRPr="005D517F" w:rsidRDefault="005D517F" w:rsidP="008F49DA">
      <w:pPr>
        <w:ind w:left="2124" w:firstLine="708"/>
        <w:rPr>
          <w:u w:val="single"/>
        </w:rPr>
      </w:pPr>
      <w:r>
        <w:t xml:space="preserve">Se le sanciona con 2 partidos y </w:t>
      </w:r>
      <w:r w:rsidR="008F49DA">
        <w:t>12</w:t>
      </w:r>
      <w:r>
        <w:t xml:space="preserve"> euros de multa. </w:t>
      </w:r>
    </w:p>
    <w:p w:rsidR="005D517F" w:rsidRPr="0080337F" w:rsidRDefault="005D517F" w:rsidP="00736A5E">
      <w:pPr>
        <w:numPr>
          <w:ilvl w:val="3"/>
          <w:numId w:val="11"/>
        </w:numPr>
        <w:rPr>
          <w:u w:val="single"/>
        </w:rPr>
      </w:pPr>
      <w:r>
        <w:t xml:space="preserve"> roja al </w:t>
      </w:r>
      <w:proofErr w:type="spellStart"/>
      <w:r>
        <w:t>num.</w:t>
      </w:r>
      <w:proofErr w:type="spellEnd"/>
      <w:r>
        <w:t xml:space="preserve"> 9 (Johan </w:t>
      </w:r>
      <w:proofErr w:type="spellStart"/>
      <w:r>
        <w:t>Varel</w:t>
      </w:r>
      <w:proofErr w:type="spellEnd"/>
      <w:r>
        <w:t xml:space="preserve">) </w:t>
      </w:r>
      <w:r w:rsidR="0080337F">
        <w:t>por falta a un contrario con fuerza desmedida y mala intención.</w:t>
      </w:r>
    </w:p>
    <w:p w:rsidR="0080337F" w:rsidRDefault="0080337F" w:rsidP="0080337F">
      <w:pPr>
        <w:ind w:left="2880"/>
      </w:pPr>
      <w:r>
        <w:t>Una vez expulsado insulta gravemente al árbitro y le da un pisotón de manera intencionada.</w:t>
      </w:r>
    </w:p>
    <w:p w:rsidR="0080337F" w:rsidRDefault="0080337F" w:rsidP="0080337F">
      <w:pPr>
        <w:ind w:left="2880"/>
      </w:pPr>
      <w:r>
        <w:t>Se le sanciona con 18 partidos de suspensión (6+12) y 72 euros de multa (24+48).</w:t>
      </w:r>
    </w:p>
    <w:p w:rsidR="0080337F" w:rsidRPr="00736A5E" w:rsidRDefault="0080337F" w:rsidP="0080337F">
      <w:pPr>
        <w:ind w:left="2880"/>
        <w:rPr>
          <w:u w:val="single"/>
        </w:rPr>
      </w:pPr>
      <w:r>
        <w:lastRenderedPageBreak/>
        <w:t xml:space="preserve">Además, se multa al equipo con 12 euros porque el jugador Johan </w:t>
      </w:r>
      <w:proofErr w:type="spellStart"/>
      <w:r>
        <w:t>Varel</w:t>
      </w:r>
      <w:proofErr w:type="spellEnd"/>
      <w:r>
        <w:t xml:space="preserve"> figura en el Acta con el </w:t>
      </w:r>
      <w:proofErr w:type="spellStart"/>
      <w:r>
        <w:t>num.</w:t>
      </w:r>
      <w:proofErr w:type="spellEnd"/>
      <w:r>
        <w:t xml:space="preserve"> 17 y en la web con el </w:t>
      </w:r>
      <w:proofErr w:type="spellStart"/>
      <w:r>
        <w:t>num.</w:t>
      </w:r>
      <w:proofErr w:type="spellEnd"/>
      <w:r>
        <w:t xml:space="preserve"> 9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422412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2</w:t>
      </w:r>
      <w:r w:rsidR="00422412">
        <w:t>, 17, 19, 21, 30, 30</w:t>
      </w:r>
      <w:r w:rsidR="006B7DBC">
        <w:t>.</w:t>
      </w:r>
      <w:r w:rsidR="004E5407" w:rsidRPr="004E5407">
        <w:t xml:space="preserve"> </w:t>
      </w:r>
    </w:p>
    <w:p w:rsidR="00422412" w:rsidRPr="007A1C61" w:rsidRDefault="00422412" w:rsidP="00422412">
      <w:pPr>
        <w:ind w:left="2880"/>
        <w:rPr>
          <w:u w:val="single"/>
        </w:rPr>
      </w:pPr>
      <w:r>
        <w:t xml:space="preserve">Se le sanciona con 12 euros por no aparecer el </w:t>
      </w:r>
      <w:proofErr w:type="spellStart"/>
      <w:r>
        <w:t>num.</w:t>
      </w:r>
      <w:proofErr w:type="spellEnd"/>
      <w:r>
        <w:t xml:space="preserve"> </w:t>
      </w:r>
      <w:proofErr w:type="gramStart"/>
      <w:r>
        <w:t>licencia</w:t>
      </w:r>
      <w:proofErr w:type="gramEnd"/>
      <w:r>
        <w:t xml:space="preserve"> del jugador </w:t>
      </w:r>
      <w:proofErr w:type="spellStart"/>
      <w:r>
        <w:t>Sisoko</w:t>
      </w:r>
      <w:proofErr w:type="spellEnd"/>
      <w:r>
        <w:t xml:space="preserve"> </w:t>
      </w:r>
      <w:proofErr w:type="spellStart"/>
      <w:r>
        <w:t>Mahamadou</w:t>
      </w:r>
      <w:proofErr w:type="spellEnd"/>
      <w:r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422412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422412" w:rsidRPr="00254708" w:rsidRDefault="00422412" w:rsidP="0026205F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</w:t>
      </w:r>
      <w:r w:rsidR="00DC054A">
        <w:t>1</w:t>
      </w:r>
      <w:r>
        <w:t>7 (</w:t>
      </w:r>
      <w:r w:rsidR="00DC054A">
        <w:t xml:space="preserve">Fabián Corzo </w:t>
      </w:r>
      <w:proofErr w:type="spellStart"/>
      <w:r w:rsidR="00DC054A">
        <w:t>Ardila</w:t>
      </w:r>
      <w:proofErr w:type="spellEnd"/>
      <w:r>
        <w:t>) por juego peligroso. Se le sanciona con dos partidos de suspensión y 12 euros de multa.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167887">
        <w:t>20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16788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67887">
        <w:t>6, 7</w:t>
      </w:r>
      <w:r w:rsidR="00E37CAD">
        <w:t>.</w:t>
      </w:r>
    </w:p>
    <w:p w:rsidR="00167887" w:rsidRPr="00167887" w:rsidRDefault="00167887" w:rsidP="0026205F">
      <w:pPr>
        <w:numPr>
          <w:ilvl w:val="3"/>
          <w:numId w:val="11"/>
        </w:numPr>
        <w:rPr>
          <w:u w:val="single"/>
        </w:rPr>
      </w:pPr>
      <w:r>
        <w:t>roja al num.10 (</w:t>
      </w:r>
      <w:proofErr w:type="spellStart"/>
      <w:r>
        <w:t>Jose</w:t>
      </w:r>
      <w:proofErr w:type="spellEnd"/>
      <w:r>
        <w:t xml:space="preserve"> Andrés Fernández Mayor) por insultos graves al árbitro.</w:t>
      </w:r>
    </w:p>
    <w:p w:rsidR="00167887" w:rsidRPr="009B2CD1" w:rsidRDefault="00167887" w:rsidP="00167887">
      <w:pPr>
        <w:ind w:left="2880"/>
        <w:rPr>
          <w:u w:val="single"/>
        </w:rPr>
      </w:pPr>
      <w:r>
        <w:t>Se le sanciona con 6 partidos de suspensión y 24 euros de multa.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67887">
        <w:t>9, 26</w:t>
      </w:r>
      <w:r w:rsidR="00E24323">
        <w:t>.</w:t>
      </w:r>
    </w:p>
    <w:p w:rsidR="004136F7" w:rsidRDefault="004136F7" w:rsidP="00AD76A8">
      <w:pPr>
        <w:numPr>
          <w:ilvl w:val="3"/>
          <w:numId w:val="11"/>
        </w:numPr>
      </w:pPr>
      <w:r>
        <w:t xml:space="preserve">roja al Delegado Damián por parte del Comité de Competición debido a errores en el Acta (*) y dirigirse al árbitro un día después del partido imputándole el error y exigiéndole que </w:t>
      </w:r>
      <w:r w:rsidR="00C51AEC">
        <w:t xml:space="preserve">lo </w:t>
      </w:r>
      <w:r>
        <w:t>asumiese</w:t>
      </w:r>
      <w:r w:rsidR="00C51AEC">
        <w:t xml:space="preserve"> </w:t>
      </w:r>
      <w:r>
        <w:t>ante el Comité.</w:t>
      </w:r>
    </w:p>
    <w:p w:rsidR="004136F7" w:rsidRDefault="004136F7" w:rsidP="004136F7">
      <w:pPr>
        <w:ind w:left="2832"/>
      </w:pPr>
      <w:r>
        <w:t xml:space="preserve">Se le sanciona con 24 euros de multa y suspensión hasta el 31 de octubre de 2026 en su tarea como delegado. </w:t>
      </w:r>
    </w:p>
    <w:p w:rsidR="00167887" w:rsidRDefault="00167887" w:rsidP="00AD76A8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</w:t>
      </w:r>
      <w:r w:rsidR="008F49DA">
        <w:t>24</w:t>
      </w:r>
      <w:r>
        <w:t xml:space="preserve"> (</w:t>
      </w:r>
      <w:r w:rsidR="008F49DA">
        <w:t xml:space="preserve">Marcus </w:t>
      </w:r>
      <w:proofErr w:type="spellStart"/>
      <w:r w:rsidR="008F49DA">
        <w:t>Vinicius</w:t>
      </w:r>
      <w:proofErr w:type="spellEnd"/>
      <w:r>
        <w:t>) por empujar a un contrario tras recibir una falta.</w:t>
      </w:r>
    </w:p>
    <w:p w:rsidR="004136F7" w:rsidRDefault="00167887" w:rsidP="00167887">
      <w:pPr>
        <w:ind w:left="2880"/>
      </w:pPr>
      <w:r>
        <w:t>Se le sanciona con dos partidos de suspensión y 12 euros de multa.</w:t>
      </w:r>
    </w:p>
    <w:p w:rsidR="00167887" w:rsidRDefault="00167887" w:rsidP="00167887">
      <w:pPr>
        <w:ind w:left="2880"/>
      </w:pPr>
    </w:p>
    <w:p w:rsidR="00167887" w:rsidRDefault="004136F7" w:rsidP="00167887">
      <w:pPr>
        <w:ind w:left="2880"/>
      </w:pPr>
      <w:r>
        <w:t xml:space="preserve">(*) </w:t>
      </w:r>
      <w:r w:rsidR="001D3796">
        <w:t>E</w:t>
      </w:r>
      <w:r w:rsidR="00167887">
        <w:t xml:space="preserve">l </w:t>
      </w:r>
      <w:proofErr w:type="spellStart"/>
      <w:r w:rsidR="00167887">
        <w:t>num.</w:t>
      </w:r>
      <w:r>
        <w:t>licencia</w:t>
      </w:r>
      <w:proofErr w:type="spellEnd"/>
      <w:r>
        <w:t xml:space="preserve"> </w:t>
      </w:r>
      <w:r w:rsidR="00167887">
        <w:t xml:space="preserve">17 </w:t>
      </w:r>
      <w:r w:rsidR="00480F58">
        <w:t xml:space="preserve">de la web </w:t>
      </w:r>
      <w:r w:rsidR="00167887">
        <w:t xml:space="preserve">figura en el Acta con el </w:t>
      </w:r>
      <w:proofErr w:type="spellStart"/>
      <w:r w:rsidR="00167887">
        <w:t>num.</w:t>
      </w:r>
      <w:proofErr w:type="spellEnd"/>
      <w:r w:rsidR="00167887">
        <w:t xml:space="preserve"> </w:t>
      </w:r>
      <w:proofErr w:type="gramStart"/>
      <w:r w:rsidR="001D3796">
        <w:t>licencia</w:t>
      </w:r>
      <w:proofErr w:type="gramEnd"/>
      <w:r w:rsidR="001D3796">
        <w:t xml:space="preserve"> </w:t>
      </w:r>
      <w:r w:rsidR="00167887">
        <w:t>8</w:t>
      </w:r>
      <w:r>
        <w:t xml:space="preserve"> y el dorsal 7 figura en el Acta para dos jugadores distintos sin que el delegado avisase previamente al árbitro</w:t>
      </w:r>
      <w:r w:rsidR="001D3796">
        <w:t>.</w:t>
      </w:r>
    </w:p>
    <w:p w:rsidR="00C51AEC" w:rsidRDefault="00C51AEC" w:rsidP="00167887">
      <w:pPr>
        <w:ind w:left="2880"/>
      </w:pP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Yepronor</w:t>
      </w:r>
      <w:proofErr w:type="spellEnd"/>
    </w:p>
    <w:p w:rsidR="00917BEB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54FC">
        <w:t>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14ED9">
        <w:t>10, 19, 24</w:t>
      </w:r>
      <w:r w:rsidR="00013981">
        <w:t>.</w:t>
      </w:r>
    </w:p>
    <w:p w:rsidR="00614ED9" w:rsidRDefault="00614ED9" w:rsidP="00046083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7 (Alberto </w:t>
      </w:r>
      <w:proofErr w:type="spellStart"/>
      <w:r>
        <w:t>Llusco</w:t>
      </w:r>
      <w:proofErr w:type="spellEnd"/>
      <w:r>
        <w:t xml:space="preserve"> Castillo) por dirigirse al árbitro de manera inapropiada al término del encuentro.</w:t>
      </w:r>
    </w:p>
    <w:p w:rsidR="00614ED9" w:rsidRDefault="00614ED9" w:rsidP="00614ED9">
      <w:pPr>
        <w:ind w:left="2880"/>
      </w:pPr>
      <w:r>
        <w:t xml:space="preserve">Se le sanciona con dos partidos de suspensión y 12 euros de multa. 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Abdoulaye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Traore</w:t>
            </w:r>
            <w:proofErr w:type="spellEnd"/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(num.3)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  <w:p w:rsidR="00422412" w:rsidRDefault="00422412" w:rsidP="0033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37F" w:rsidRDefault="008F49DA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22412">
              <w:rPr>
                <w:sz w:val="20"/>
                <w:szCs w:val="20"/>
              </w:rPr>
              <w:t>-04-202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Se le sanciona con 2 partidos y </w:t>
            </w:r>
            <w:r w:rsidR="008F49DA">
              <w:rPr>
                <w:iCs/>
                <w:color w:val="000000"/>
                <w:shd w:val="clear" w:color="auto" w:fill="FFFFFF"/>
              </w:rPr>
              <w:t>12</w:t>
            </w:r>
            <w:r w:rsidRPr="00422412">
              <w:rPr>
                <w:iCs/>
                <w:color w:val="000000"/>
                <w:shd w:val="clear" w:color="auto" w:fill="FFFFFF"/>
              </w:rPr>
              <w:t xml:space="preserve"> euros de multa por </w:t>
            </w:r>
            <w:r w:rsidR="008F49DA">
              <w:rPr>
                <w:iCs/>
                <w:color w:val="000000"/>
                <w:shd w:val="clear" w:color="auto" w:fill="FFFFFF"/>
              </w:rPr>
              <w:t>forcejeo y empujón con un contrario</w:t>
            </w:r>
            <w:r w:rsidRPr="00422412">
              <w:rPr>
                <w:iCs/>
                <w:color w:val="000000"/>
                <w:shd w:val="clear" w:color="auto" w:fill="FFFFFF"/>
              </w:rPr>
              <w:t xml:space="preserve">. </w:t>
            </w:r>
          </w:p>
          <w:p w:rsidR="0080337F" w:rsidRPr="00422412" w:rsidRDefault="00422412" w:rsidP="00330C94">
            <w:r w:rsidRPr="00422412">
              <w:rPr>
                <w:iCs/>
                <w:color w:val="000000"/>
                <w:shd w:val="clear" w:color="auto" w:fill="FFFFFF"/>
              </w:rPr>
              <w:t>Acta del 22-3-2026</w:t>
            </w: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80337F" w:rsidRPr="00422412" w:rsidRDefault="00422412" w:rsidP="00330C94">
            <w:r w:rsidRPr="00422412">
              <w:rPr>
                <w:iCs/>
                <w:color w:val="000000"/>
                <w:shd w:val="clear" w:color="auto" w:fill="FFFFFF"/>
              </w:rP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DC054A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Fabián Corzo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Ardila</w:t>
            </w:r>
            <w:proofErr w:type="spellEnd"/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C054A">
              <w:rPr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7)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Sede</w:t>
            </w:r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4253" w:type="dxa"/>
          </w:tcPr>
          <w:p w:rsidR="00167887" w:rsidRDefault="00167887" w:rsidP="00167887">
            <w:r>
              <w:t xml:space="preserve">Se le sanciona con dos partidos de suspensión y 12 euros de multa por juego peligroso. </w:t>
            </w:r>
          </w:p>
          <w:p w:rsidR="00167887" w:rsidRDefault="00167887" w:rsidP="00167887"/>
          <w:p w:rsidR="00422412" w:rsidRPr="00A31336" w:rsidRDefault="00167887" w:rsidP="00167887">
            <w: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r>
              <w:t>Se le sanciona con 6 partidos de suspensión y 24 euros de multa por insultos graves al árbitro.</w:t>
            </w:r>
          </w:p>
          <w:p w:rsidR="00167887" w:rsidRDefault="00167887" w:rsidP="00167887"/>
          <w:p w:rsidR="00422412" w:rsidRPr="00A31336" w:rsidRDefault="00167887" w:rsidP="00167887">
            <w: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Marcus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Vinicius</w:t>
            </w:r>
            <w:proofErr w:type="spellEnd"/>
          </w:p>
          <w:p w:rsidR="00422412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</w:t>
            </w:r>
            <w:r w:rsidR="00480F5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="00480F58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422412" w:rsidRDefault="00480F58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422412" w:rsidRDefault="00480F58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4C159E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  <w:p w:rsidR="004C159E" w:rsidRDefault="004C159E" w:rsidP="0033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80F58" w:rsidRDefault="00480F58" w:rsidP="00480F58">
            <w:r>
              <w:t>Se le sanciona con dos partidos de suspensión y 12 euros de multa por empujar a un contrario tras recibir una falta.</w:t>
            </w:r>
          </w:p>
          <w:p w:rsidR="00422412" w:rsidRPr="00A31336" w:rsidRDefault="00480F58" w:rsidP="001D3796">
            <w: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1D3796" w:rsidRDefault="001D3796" w:rsidP="00480F58">
            <w:r>
              <w:t xml:space="preserve">Se le sanciona con la suspensión hasta el 31-10-2026 en su tarea como delegado </w:t>
            </w:r>
            <w:r>
              <w:lastRenderedPageBreak/>
              <w:t>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Carlos Gómez (num.15)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Acta del 22-3-2026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Llusco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Castillo</w:t>
            </w:r>
          </w:p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(num.7)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1276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y 12 euros de multa por dirigirse al árbitro de manera inapropiada.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22-3-2026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lastRenderedPageBreak/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lastRenderedPageBreak/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4C159E">
            <w:pPr>
              <w:spacing w:before="100" w:after="100"/>
              <w:jc w:val="center"/>
            </w:pPr>
            <w:r>
              <w:t>1,</w:t>
            </w:r>
            <w:r w:rsidR="004C159E">
              <w:t>44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CE41EB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 w:rsidR="00CE41EB">
              <w:t>4</w:t>
            </w:r>
            <w:r w:rsidR="00AA0ABE">
              <w:t>3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CE41EB">
            <w:pPr>
              <w:spacing w:before="100" w:after="100"/>
              <w:jc w:val="center"/>
            </w:pPr>
            <w:r>
              <w:t>1</w:t>
            </w:r>
            <w:r w:rsidR="00CE41EB">
              <w:t>5</w:t>
            </w:r>
            <w:r>
              <w:t>,</w:t>
            </w:r>
            <w:r w:rsidR="00CE41EB">
              <w:t>19</w:t>
            </w:r>
            <w:r w:rsidR="008E5644">
              <w:t xml:space="preserve"> </w:t>
            </w:r>
            <w:r w:rsidR="00112510">
              <w:t>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1EA" w:rsidRDefault="002461EA">
      <w:r>
        <w:separator/>
      </w:r>
    </w:p>
  </w:endnote>
  <w:endnote w:type="continuationSeparator" w:id="0">
    <w:p w:rsidR="002461EA" w:rsidRDefault="0024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DA" w:rsidRDefault="008F49DA">
    <w:pPr>
      <w:pStyle w:val="Piedepgina"/>
      <w:pBdr>
        <w:bottom w:val="single" w:sz="12" w:space="1" w:color="auto"/>
      </w:pBdr>
    </w:pPr>
  </w:p>
  <w:p w:rsidR="008F49DA" w:rsidRPr="00B62BB2" w:rsidRDefault="008F49DA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23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22</w:t>
    </w:r>
    <w:r w:rsidRPr="00B62BB2">
      <w:rPr>
        <w:sz w:val="18"/>
        <w:szCs w:val="18"/>
      </w:rPr>
      <w:t>-</w:t>
    </w:r>
    <w:r>
      <w:rPr>
        <w:sz w:val="18"/>
        <w:szCs w:val="18"/>
      </w:rPr>
      <w:t>3-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C51AEC">
      <w:rPr>
        <w:rStyle w:val="Nmerodepgina"/>
        <w:noProof/>
        <w:sz w:val="18"/>
        <w:szCs w:val="18"/>
      </w:rPr>
      <w:t>4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C51AEC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1EA" w:rsidRDefault="002461EA">
      <w:r>
        <w:separator/>
      </w:r>
    </w:p>
  </w:footnote>
  <w:footnote w:type="continuationSeparator" w:id="0">
    <w:p w:rsidR="002461EA" w:rsidRDefault="00246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1EA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34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DE6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648A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9CA27-5339-4D93-91CB-9CCBD30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1919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2026-03-15T16:39:00Z</cp:lastPrinted>
  <dcterms:created xsi:type="dcterms:W3CDTF">2026-03-27T15:57:00Z</dcterms:created>
  <dcterms:modified xsi:type="dcterms:W3CDTF">2026-03-27T17:18:00Z</dcterms:modified>
</cp:coreProperties>
</file>